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BbgRAVG (Brandenburg) — Organe</w:t>
      </w:r>
    </w:p>
    <w:p>
      <w:r>
        <w:rPr>
          <w:color w:val="555555"/>
          <w:sz w:val="18"/>
        </w:rPr>
        <w:t xml:space="preserve">Brandenburgisches Rechtsanwaltsversorgungsgesetz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Organe des Versorgungswerks sind:</w:t>
      </w:r>
    </w:p>
    <w:p>
      <w:r>
        <w:t xml:space="preserve">die Vertreterversammlung,</w:t>
      </w:r>
    </w:p>
    <w:p>
      <w:r>
        <w:t xml:space="preserve">der Vorstand,</w:t>
      </w:r>
    </w:p>
    <w:p>
      <w:r>
        <w:t xml:space="preserve">der Vorsitzende des Vorstandes.</w:t>
      </w:r>
    </w:p>
    <w:p>
      <w:r>
        <w:rPr>
          <w:color w:val="555555"/>
          <w:sz w:val="17"/>
        </w:rPr>
        <w:t xml:space="preserve">Zitiervorschlag: § 6 BbgRAVG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https://recht.nulegal.eu/gesetze/BbgRAVG/6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