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BbgRAVG (Brandenburg) — Pflichtmitgliedschaft</w:t>
      </w:r>
    </w:p>
    <w:p>
      <w:r>
        <w:rPr>
          <w:color w:val="555555"/>
          <w:sz w:val="18"/>
        </w:rPr>
        <w:t xml:space="preserve">Brandenburgisches Rechtsanwaltsversorgungsgesetz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Pflichtmitglied des Versorgungswerks ist jede natürliche Person, die als Rechtsanwalt, Syndikusrechtsanwalt, niedergelassener europäischer Rechtsanwalt, niedergelassener europäischer Syndikusrechtsanwalt oder als Angehöriger eines ausländischen Rechtsanwaltsberufes nach § 206 der Bundesrechtsanwaltsordnung Mitglied der Rechtsanwaltskammer des Landes Brandenburg ist.</w:t>
      </w:r>
    </w:p>
    <w:p>
      <w:r>
        <w:t xml:space="preserve">(2) Von der Pflichtmitgliedschaft sind Rechtsanwälte ausgenommen, die an dem Tag, an dem die Pflichtmitgliedschaft beginnen würde, berufsunfähig sind.</w:t>
      </w:r>
    </w:p>
    <w:p>
      <w:r>
        <w:t xml:space="preserve">(3) Die Satzung kann Ausnahmen und Befreiungen von der Pflichtmitgliedschaft oder Beitragspflicht vorsehen:</w:t>
      </w:r>
    </w:p>
    <w:p>
      <w:r>
        <w:t xml:space="preserve">bei Nachweis einer anderen gleichwertigen Versorgung,</w:t>
      </w:r>
    </w:p>
    <w:p>
      <w:r>
        <w:t xml:space="preserve">im Falle einer anderweitigen Befreiung von der gesetzlichen Versicherungs- oder Versorgungspflicht oder</w:t>
      </w:r>
    </w:p>
    <w:p>
      <w:r>
        <w:t xml:space="preserve">bei Mitgliedern bis zum Ablauf von fünf vollen Kalenderjahren nach ihrer erstmaligen Zulassung, längstens bis zur Vollendung des 45. Lebensjahres.</w:t>
      </w:r>
    </w:p>
    <w:p>
      <w:r>
        <w:rPr>
          <w:color w:val="555555"/>
          <w:sz w:val="17"/>
        </w:rPr>
        <w:t xml:space="preserve">Zitiervorschlag: § 3 BbgRAVG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https://recht.nulegal.eu/gesetze/BbgRAVG/3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