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BbgRAVG (Brandenburg) — Inkrafttreten</w:t>
      </w:r>
    </w:p>
    <w:p>
      <w:r>
        <w:rPr>
          <w:color w:val="555555"/>
          <w:sz w:val="18"/>
        </w:rPr>
        <w:t xml:space="preserve">Brandenburgisches Rechtsanwaltsversorgungsgesetz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4. Dezember 1995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22 BbgRAVG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https://recht.nulegal.eu/gesetze/BbgRAVG/22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