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BbgRAVG (Brandenburg) — Verarbeitung besonderer Kategorien personenbezogener Daten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 seiner Mitglieder und sonstiger Leistungsberechtigter im Sinne von Artikel 9 Absatz 1 der Verordnung ( EU ) 2016/679 des Europäischen Parlaments und des Rates vom 27. April 2016 zum Schutz natürlicher Personen bei der Verarbeitung personenbezogener Daten, zum freien Datenverkehr und zur Aufhebung der Richtlinie 95/46/ EG (Datenschutz-Grundverordnung) ( ABl. L 119 vom 4.5.2016, S. 1, L 314 vom 22.11.2016, S. 72, L 127 vom 23.5.2018, S. 2, L 74 vom 4.3.2021, S. 35) darf das Versorgungswerk ausschließlich zur Versorgung seiner Mitglieder und sonstigen Leistungsberechtigten gemäß § 2 Absatz 1 verarbeiten.</w:t>
      </w:r>
    </w:p>
    <w:p>
      <w:r>
        <w:t xml:space="preserve">(2) § 24 des Brandenburgischen Datenschutzgesetzes über die Verarbeitung besonderer Kategorien personenbezogener Daten ist entsprechend anzuwenden.</w:t>
      </w:r>
    </w:p>
    <w:p>
      <w:r>
        <w:rPr>
          <w:color w:val="555555"/>
          <w:sz w:val="17"/>
        </w:rPr>
        <w:t xml:space="preserve">Zitiervorschlag: § 20a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https://recht.nulegal.eu/gesetze/BbgRAVG/20a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