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BbgRAVG (Brandenburg) — Aufgabe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Versorgungswerk leistet seinen Mitgliedern und deren Hinterbliebenen Versorgung nach Maßgabe dieses Gesetzes und seiner Satzung.</w:t>
      </w:r>
    </w:p>
    <w:p>
      <w:r>
        <w:t xml:space="preserve">(2) Das Versorgungswerk erbringt seine Leistungen ausschließlich aus eigenen Mitteln.</w:t>
      </w:r>
    </w:p>
    <w:p>
      <w:r>
        <w:rPr>
          <w:color w:val="555555"/>
          <w:sz w:val="17"/>
        </w:rPr>
        <w:t xml:space="preserve">Zitiervorschlag: § 2 BbgRAVG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