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BbgRAVG (Brandenburg) — Satzung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die Angelegenheiten des Versorgungswerks nicht gesetzlich bestimmt sind, werden sie durch die Satzung geregelt.</w:t>
      </w:r>
    </w:p>
    <w:p>
      <w:r>
        <w:t xml:space="preserve">(2) Die Satzung trifft insbesondere Bestimmungen über</w:t>
      </w:r>
    </w:p>
    <w:p>
      <w:r>
        <w:t xml:space="preserve">die Wahl, die Beschlußfassung und die Aufgaben der Vertreterversammlung und des Vorstandes,</w:t>
      </w:r>
    </w:p>
    <w:p>
      <w:r>
        <w:t xml:space="preserve">die Begründung und Beendigung der Mitgliedschaft,</w:t>
      </w:r>
    </w:p>
    <w:p>
      <w:r>
        <w:t xml:space="preserve">die Befreiung von der Mitgliedschaft oder von der Beitragspflicht,</w:t>
      </w:r>
    </w:p>
    <w:p>
      <w:r>
        <w:t xml:space="preserve">die Nachversicherung gemäß § 186 des Sechsten Buches des Sozialgesetzbuches,</w:t>
      </w:r>
    </w:p>
    <w:p>
      <w:r>
        <w:t xml:space="preserve">die Bestimmung der nach den §§ 16 Abs. 1 und 17 zu erhebenden und zu übermittelnden Daten.</w:t>
      </w:r>
    </w:p>
    <w:p>
      <w:r>
        <w:t xml:space="preserve">(3) Die Satzung und jede Änderung sind mit dem Genehmigungsvermerk im Amtsblatt für Brandenburg bekanntzugeben. Sie treten am Tag nach der Veröffentlichung in Kraft, soweit nicht ein anderer Zeitpunkt bestimmt wird.</w:t>
      </w:r>
    </w:p>
    <w:p>
      <w:r>
        <w:t xml:space="preserve">(4) Satzungsänderungen gelten auch für bestehende Mitgliedschafts- und Versorgungsverhältnisse, soweit nichts anderes bestimmt ist.</w:t>
      </w:r>
    </w:p>
    <w:p>
      <w:r>
        <w:rPr>
          <w:color w:val="555555"/>
          <w:sz w:val="17"/>
        </w:rPr>
        <w:t xml:space="preserve">Zitiervorschlag: § 18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