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BbgRAVG (Brandenburg) — Errichtung, Rechtsstellung und Sitz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wird ein Versorgungswerk der Rechtsanwälte für die Mitglieder der Rechtsanwaltskammer des Landes Brandenburg als Körperschaft des öffentlichen Rechts errichtet.</w:t>
      </w:r>
    </w:p>
    <w:p>
      <w:r>
        <w:t xml:space="preserve">(2) Die Körperschaft führt die Bezeichnung "Versorgungswerk der Rechtsanwälte in Brandenburg". Sie hat ihren Sitz am Sitz der Rechtsanwaltskammer.</w:t>
      </w:r>
    </w:p>
    <w:p>
      <w:r>
        <w:rPr>
          <w:color w:val="555555"/>
          <w:sz w:val="17"/>
        </w:rPr>
        <w:t xml:space="preserve">Zitiervorschlag: § 1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