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71 BbgPsychKG (Brandenburg) — Inkrafttreten, Außerkrafttreten</w:t>
      </w:r>
    </w:p>
    <w:p>
      <w:r>
        <w:rPr>
          <w:color w:val="555555"/>
          <w:sz w:val="18"/>
        </w:rPr>
        <w:t xml:space="preserve">Brandenburgisches Psychisch-Kranken-Gesetz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tritt am Tag nach der Verkündung in Kraft. Gleichzeitig tritt das Brandenburgische Psychisch-Kranken-Gesetz vom 8. Februar 1996 (GVBl. I S. 26), zuletzt geändert durch Gesetz vom 29. Juni 2004 (GVBl. I S. 342), außer Kraft.</w:t>
      </w:r>
    </w:p>
    <w:p>
      <w:r>
        <w:t xml:space="preserve">Potsdam, den 5. Mai 2009</w:t>
      </w:r>
    </w:p>
    <w:p>
      <w:r>
        <w:t xml:space="preserve">Der Präsident</w:t>
      </w:r>
    </w:p>
    <w:p>
      <w:r>
        <w:t xml:space="preserve">des Landtages Brandenburg</w:t>
      </w:r>
    </w:p>
    <w:p>
      <w:r>
        <w:t xml:space="preserve">Gunter Fritsch</w:t>
      </w:r>
    </w:p>
    <w:p>
      <w:r>
        <w:rPr>
          <w:color w:val="555555"/>
          <w:sz w:val="17"/>
        </w:rPr>
        <w:t xml:space="preserve">Zitiervorschlag: § 71 BbgPsychKG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https://recht.nulegal.eu/gesetze/BbgPsychKG/71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