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BbgPsychKG (Brandenburg) — Einschränkung der Verarbeitung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Personenbezogene Daten in den in § 65 genannten Dateien sind nach Ablauf von zwei Jahren seit der Entlassung oder der Verlegung der untergebrachten Person in eine andere Einrichtung zu kennzeichnen, um ihre weitere Verarbeitung einzuschränken.</w:t>
      </w:r>
    </w:p>
    <w:p>
      <w:r>
        <w:t xml:space="preserve">(2) Die nach Absatz 1 in der Verarbeitung eingeschränkten Daten dürfen nur übermittelt oder genutzt werden, soweit dies unerlässlich ist</w:t>
      </w:r>
    </w:p>
    <w:p>
      <w:r>
        <w:t xml:space="preserve">zur Verfolgung von Straftaten,</w:t>
      </w:r>
    </w:p>
    <w:p>
      <w:r>
        <w:t xml:space="preserve">für die Durchführung wissenschaftlicher Forschungsvorhaben,</w:t>
      </w:r>
    </w:p>
    <w:p>
      <w:r>
        <w:t xml:space="preserve">zur Behebung einer bestehenden Beweisnot oder</w:t>
      </w:r>
    </w:p>
    <w:p>
      <w:r>
        <w:t xml:space="preserve">zur Feststellung, Durchsetzung oder Abwehr von Rechtsansprüchen im Zusammenhang mit dem Vollzug der Maßregeln der Besserung und Sicherung.</w:t>
      </w:r>
    </w:p>
    <w:p>
      <w:r>
        <w:t xml:space="preserve">(3) Die Einschränkung der Verarbeitung nach Absatz 1 endet, wenn die untergebrachten Personen erneut aufgenommen werden oder die betroffenen Personen eingewilligt haben.</w:t>
      </w:r>
    </w:p>
    <w:p>
      <w:r>
        <w:rPr>
          <w:color w:val="555555"/>
          <w:sz w:val="17"/>
        </w:rPr>
        <w:t xml:space="preserve">Zitiervorschlag: § 67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https://recht.nulegal.eu/gesetze/BbgPsychKG/67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