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66 BbgPsychKG (Brandenburg) — Löschung besonders erhobener Daten</w:t>
      </w:r>
    </w:p>
    <w:p>
      <w:r>
        <w:rPr>
          <w:color w:val="555555"/>
          <w:sz w:val="18"/>
        </w:rPr>
        <w:t xml:space="preserve">Brandenburgisches Psychisch-Kranken-Gesetz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Erkennungsdienstliche Unterlagen mit Ausnahme von Lichtbildern und der Beschreibung von körperlichen Merkmalen der untergebrachten Person, die nach § 42 Absatz 1 erkennungsdienstlich behandelt worden sind, sind nach ihrer Entlassung aus dem Vollzug unverzüglich zu löschen, sobald die Vollstreckung der richterlichen Entscheidung, die dem Vollzug zugrunde gelegen hat, abgeschlossen ist.</w:t>
      </w:r>
    </w:p>
    <w:p>
      <w:r>
        <w:rPr>
          <w:color w:val="555555"/>
          <w:sz w:val="17"/>
        </w:rPr>
        <w:t xml:space="preserve">Zitiervorschlag: § 66 BbgPsychKG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https://recht.nulegal.eu/gesetze/BbgPsychKG/66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