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BbgPsychKG (Brandenburg) — Löschung</w:t>
      </w:r>
    </w:p>
    <w:p>
      <w:r>
        <w:rPr>
          <w:color w:val="555555"/>
          <w:sz w:val="18"/>
        </w:rPr>
        <w:t xml:space="preserve">Brandenburgisches Psychisch-Kranken-Gesetz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Dateien gespeicherten personenbezogenen Daten sind spätestens dreißig Jahre nach der Entlassung oder der Verlegung der untergebrachten Person in eine andere Einrichtung zu löschen.</w:t>
      </w:r>
    </w:p>
    <w:p>
      <w:r>
        <w:t xml:space="preserve">(2) In Fällen des § 67 Absatz 3 beginnt die Frist mit der erneuten Entlassung.</w:t>
      </w:r>
    </w:p>
    <w:p>
      <w:r>
        <w:rPr>
          <w:color w:val="555555"/>
          <w:sz w:val="17"/>
        </w:rPr>
        <w:t xml:space="preserve">Zitiervorschlag: § 65 BbgPsychKG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https://recht.nulegal.eu/gesetze/BbgPsychKG/65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