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62 BbgPsychKG (Brandenburg) — Überlassung von Akten</w:t>
      </w:r>
    </w:p>
    <w:p>
      <w:r>
        <w:rPr>
          <w:color w:val="555555"/>
          <w:sz w:val="18"/>
        </w:rPr>
        <w:t xml:space="preserve">Brandenburgisches Psychisch-Kranken-Gesetz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Akten dürfen nur</w:t>
      </w:r>
    </w:p>
    <w:p>
      <w:r>
        <w:t xml:space="preserve">anderen Einrichtungen und Aufsichtsbehörden,</w:t>
      </w:r>
    </w:p>
    <w:p>
      <w:r>
        <w:t xml:space="preserve">der Gerichtshilfe, der Jugendgerichtshilfe, der Bewährungshilfe, den Führungsaufsichtsstellen und den forensischen Ambulanzen,</w:t>
      </w:r>
    </w:p>
    <w:p>
      <w:r>
        <w:t xml:space="preserve">den für strafvollstreckungs- und strafrechtliche Entscheidungen zuständigen Gerichten und</w:t>
      </w:r>
    </w:p>
    <w:p>
      <w:r>
        <w:t xml:space="preserve">den Strafvollstreckungs- und Strafverfolgungsbehörden</w:t>
      </w:r>
    </w:p>
    <w:p>
      <w:r>
        <w:t xml:space="preserve">überlassen oder im Falle elektronischer Aktenführung in Form von Duplikaten übermittelt werden, soweit dies für vollzugliche Zwecke und Zwecke des gerichtlichen Rechtsschutzes unerlässlich ist.</w:t>
      </w:r>
    </w:p>
    <w:p>
      <w:r>
        <w:t xml:space="preserve">(2) Werden Sachverständige mit der Begutachtung untergebrachter Personen nach § 39 Absatz 2 oder § 43 Satz 3 beauftragt, ist ihnen Einsicht in die Krankenakten zu gewähren, soweit dies für die gutachterliche Tätigkeit unerlässlich ist.</w:t>
      </w:r>
    </w:p>
    <w:p>
      <w:r>
        <w:rPr>
          <w:color w:val="555555"/>
          <w:sz w:val="17"/>
        </w:rPr>
        <w:t xml:space="preserve">Zitiervorschlag: § 62 BbgPsychKG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https://recht.nulegal.eu/gesetze/BbgPsychKG/62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