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 BbgPsychKG (Brandenburg) — Grundsatz</w:t>
      </w:r>
    </w:p>
    <w:p>
      <w:r>
        <w:rPr>
          <w:color w:val="555555"/>
          <w:sz w:val="18"/>
        </w:rPr>
        <w:t xml:space="preserve">Brandenburgisches Psychisch-Kranken-Gesetz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die Verarbeitung personenbezogener Daten gilt das Brandenburgische Datenschutzgesetz, soweit dieses Gesetz nichts anderes bestimmt.</w:t>
      </w:r>
    </w:p>
    <w:p>
      <w:r>
        <w:t xml:space="preserve">(2) Für Krankenhäuser, die Aufgaben nach diesem Gesetz erfüllen und zugleich Krankenhäuser im Sinne des Brandenburgischen Krankenhausentwicklungsgesetzes sind, gilt das Brandenburgische Krankenhausentwicklungsgesetz, soweit dieses Gesetz nichts anderes bestimmt.</w:t>
      </w:r>
    </w:p>
    <w:p>
      <w:r>
        <w:rPr>
          <w:color w:val="555555"/>
          <w:sz w:val="17"/>
        </w:rPr>
        <w:t xml:space="preserve">Zitiervorschlag: § 54 BbgPsychKG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https://recht.nulegal.eu/gesetze/BbgPsychKG/54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