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 BbgPsychKG (Brandenburg) — Rechte und deren Einschränkungen</w:t>
      </w:r>
    </w:p>
    <w:p>
      <w:r>
        <w:rPr>
          <w:color w:val="555555"/>
          <w:sz w:val="18"/>
        </w:rPr>
        <w:t xml:space="preserve">Brandenburgisches Psychisch-Kranken-Gesetz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§§ 20 bis 28 und 33 finden entsprechende Anwendung.</w:t>
      </w:r>
    </w:p>
    <w:p>
      <w:r>
        <w:t xml:space="preserve">(2) Die ärztliche Leitung ist über jede Anwendung unmittelbaren Zwangs nach § 20 Abs. 2 und jede besondere Sicherungsmaßnahme nach § 21 Abs. 2, die sie nicht selbst angeordnet hat, unverzüglich zu informieren. Sie hat diese Maßnahmen unter rechtlichen und therapeutischen Gesichtspunkten zu überprüfen.</w:t>
      </w:r>
    </w:p>
    <w:p>
      <w:r>
        <w:rPr>
          <w:color w:val="555555"/>
          <w:sz w:val="17"/>
        </w:rPr>
        <w:t xml:space="preserve">Zitiervorschlag: § 45 BbgPsychKG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https://recht.nulegal.eu/gesetze/BbgPsychKG/45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