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BbgPsychKG (Brandenburg) — Bücher, Zeitungen, Zeitschriften; Hörfunk und Fernsehen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Untergebrachte Personen haben das Recht auf den Zugang zu Büchern, Zeitungen und Zeitschriften sowie auf den Empfang von Hörfunk- oder Fernsehsendungen.</w:t>
      </w:r>
    </w:p>
    <w:p>
      <w:r>
        <w:t xml:space="preserve">(2) Einschränkungen dieses Rechts sind nur zulässig, wenn der Inhalt von Druckerzeugnissen oder Hörfunk- und Fernsehsendungen in direktem Widerspruch zu den Zielen des Behandlungsplanes steht und eine offenkundige Gefährdung des Behandlungserfolges zu erwarten ist. Die Einschränkungen dürfen nur von der ärztlichen Leitung angeordnet werden; sie sind zu dokumentieren. Im Übrigen gilt § 25 Abs. 2 bis 4 entsprechend.</w:t>
      </w:r>
    </w:p>
    <w:p>
      <w:r>
        <w:t xml:space="preserve">(3) Die Hausordnung nach § 28 kann Zeiten für den Empfang von Hörfunk- und Fernsehsendungen in dem Krankenhaus festlegen.</w:t>
      </w:r>
    </w:p>
    <w:p>
      <w:r>
        <w:rPr>
          <w:color w:val="555555"/>
          <w:sz w:val="17"/>
        </w:rPr>
        <w:t xml:space="preserve">Zitiervorschlag: § 27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