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BbgPsychKG (Brandenburg) — Telefongespräche, Telegramme, Päckchen und andere Arten der Nachrichtenübermittlung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untergebrachte Person hat das Recht auf fernmündliche und elektronische Nachrichtenübermittlung. Die Überwachung dieser Kommunikationswege ist nur unter den Voraussetzungen des § 25 Abs. 2 zulässig. Vor einer Überwachung sind die Beteiligten über die anstehende Maßnahme zu unterrichten. Im Übrigen gilt § 25 Abs. 3 bis 6 entsprechend.</w:t>
      </w:r>
    </w:p>
    <w:p>
      <w:r>
        <w:t xml:space="preserve">(2) Die untergebrachte Person ist berechtigt, Telegramme sowie Päckchen und Pakete abzusenden und zu empfangen. Einschränkungen dieses Rechts sind nur unter den Voraussetzungen des § 25 Abs. 2 zulässig. Im Übrigen gilt § 25 Abs. 3 bis 6 entsprechend.</w:t>
      </w:r>
    </w:p>
    <w:p>
      <w:r>
        <w:rPr>
          <w:color w:val="555555"/>
          <w:sz w:val="17"/>
        </w:rPr>
        <w:t xml:space="preserve">Zitiervorschlag: § 26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