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BbgPsychKG (Brandenburg) — Freiheit der Religionsausübung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untergebrachte Person hat das Recht, innerhalb des Krankenhauses an den Veranstaltungen von Religions- und Glaubensgemeinschaften teilzunehmen und ihren Glauben nach den Regeln ihrer Glaubensgemeinschaft zu praktizieren.</w:t>
      </w:r>
    </w:p>
    <w:p>
      <w:r>
        <w:t xml:space="preserve">(2) Besitz und Erwerb von Gegenständen des religiösen Gebrauchs sind frei.</w:t>
      </w:r>
    </w:p>
    <w:p>
      <w:r>
        <w:t xml:space="preserve">(3) Eine Einschränkung dieser Rechte ist nur unter den Voraussetzungen des § 21 Abs. 1 Satz 1 zulässig. § 22 Abs. 2 gilt entsprechend.</w:t>
      </w:r>
    </w:p>
    <w:p>
      <w:r>
        <w:rPr>
          <w:color w:val="555555"/>
          <w:sz w:val="17"/>
        </w:rPr>
        <w:t xml:space="preserve">Zitiervorschlag: § 23 BbgPsychKG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