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BbgPsychKG (Brandenburg) — Grundsatz</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allen Maßnahmen aufgrund dieses Gesetzes ist auf das Befinden des psychisch kranken oder seelisch behinderten Menschen besondere Rücksicht zu nehmen. Alle Rechte dieser Person und ihre menschliche Würde sind zu wahren. Einschränkungen ihrer Rechte nach diesem Gesetz unterliegen dem Grundsatz der Verhältnismäßigkeit.</w:t>
      </w:r>
    </w:p>
    <w:p>
      <w:r>
        <w:t xml:space="preserve">(2) Gegen eine Maßnahme zur Regelung einzelner Angelegenheiten nach diesem Gesetz kann die von dieser Maßnahme betroffene Person, ihre gesetzliche Vertretungsperson oder ihre gerichtlich bestellte Betreuungsperson eine gerichtliche Entscheidung beantragen. Mit dem Antrag kann auch die Verpflichtung zum Erlass einer abgelehnten oder unterlassenen Maßnahme begehrt werden.</w:t>
      </w:r>
    </w:p>
    <w:p>
      <w:r>
        <w:rPr>
          <w:color w:val="555555"/>
          <w:sz w:val="17"/>
        </w:rPr>
        <w:t xml:space="preserve">Zitiervorschlag: § 2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