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BbgPsychKG (Brandenburg) — Sofortige Aufnahme im Krankenhaus und gerichtliche Unterbringungsanordnung</w:t>
      </w:r>
    </w:p>
    <w:p>
      <w:r>
        <w:rPr>
          <w:color w:val="555555"/>
          <w:sz w:val="18"/>
        </w:rPr>
        <w:t xml:space="preserve">Brandenburgisches Psychisch-Kranken-Gesetz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Ist eine Person nach § 12 Abs. 3 oder Abs. 4 in ein Krankenhaus gebracht worden, muss sie dort unverzüglich der diensthabenden Ärztin oder dem diensthabenden Arzt vorgestellt werden. Die diensthabende Ärztin oder der diensthabende Arzt entscheidet nach § 8 über die Notwendigkeit einer sofortigen Aufnahme.</w:t>
      </w:r>
    </w:p>
    <w:p>
      <w:r>
        <w:t xml:space="preserve">(2) Im Fall der Aufnahme stellt die diensthabende Ärztin oder der diensthabende Arzt für das Krankenhaus unverzüglich einen Antrag auf Anordnung der Unterbringung beim zuständigen Gericht.</w:t>
      </w:r>
    </w:p>
    <w:p>
      <w:r>
        <w:t xml:space="preserve">(3) Die betroffene Person ist aus dem Krankenhaus zu entlassen, wenn</w:t>
      </w:r>
    </w:p>
    <w:p>
      <w:r>
        <w:t xml:space="preserve">die diensthabende Ärztin oder der diensthabende Arzt entscheidet, dass keine Notwendigkeit für eine sofortige Aufnahme besteht,</w:t>
      </w:r>
    </w:p>
    <w:p>
      <w:r>
        <w:t xml:space="preserve">das Gericht den Antrag auf Anordnung der Unterbringung zurückgewiesen hat oder</w:t>
      </w:r>
    </w:p>
    <w:p>
      <w:r>
        <w:t xml:space="preserve">das Gericht nicht bis zum Ende des auf den Beginn der Freiheitsentziehung folgenden Tages die Unterbringung angeordnet hat.</w:t>
      </w:r>
    </w:p>
    <w:p>
      <w:r>
        <w:t xml:space="preserve">Die Entlassung ist dem sozialpsychiatrischen Dienst unverzüglich mitzuteilen. Dieser teilt den anderen Personen und Stellen, die von der einstweiligen Unterbringung nach § 12 Abs. 2 benachrichtigt worden sind, umgehend die Entlassung mit.</w:t>
      </w:r>
    </w:p>
    <w:p>
      <w:r>
        <w:rPr>
          <w:color w:val="555555"/>
          <w:sz w:val="17"/>
        </w:rPr>
        <w:t xml:space="preserve">Zitiervorschlag: § 13 BbgPsychKG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https://recht.nulegal.eu/gesetze/BbgPsychKG/13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