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BbgProstSchGZV (Brandenburg) — Ordnungswidrigkeiten</w:t>
      </w:r>
    </w:p>
    <w:p>
      <w:r>
        <w:rPr>
          <w:color w:val="555555"/>
          <w:sz w:val="18"/>
        </w:rPr>
        <w:t xml:space="preserve">Brandenburgische Verordnung über die Zuständigkeiten nach dem Prostituiertenschutzgesetz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sachliche Zuständigkeit im Sinne des § 36 Absatz 1 Nummer 2 Buchstabe a des Gesetzes über Ordnungswidrigkeiten wird gemäß § 36 Absatz 2 Satz 1 des Gesetzes über Ordnungswidrigkeiten</w:t>
      </w:r>
    </w:p>
    <w:p>
      <w:r>
        <w:t xml:space="preserve">bezüglich der Tatbestände des § 33 Absatz 1 Nummer 1 und 2 des Prostituiertenschutzgesetzes den nach § 1 Absatz 1 zuständigen Behörden und</w:t>
      </w:r>
    </w:p>
    <w:p>
      <w:r>
        <w:t xml:space="preserve">bezüglich der Tatbestände des § 33 Absatz 1 Nummer 3 und Absatz 2 des Prostituiertenschutzgesetzes den nach § 1 Absatz 2 zuständigen Behörden</w:t>
      </w:r>
    </w:p>
    <w:p>
      <w:r>
        <w:t xml:space="preserve">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BbgProstSchGZV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https://recht.nulegal.eu/gesetze/BbgProstSchGZV/2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