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BbgPrüfSV (Brandenburg) — Führung der Bezeichnung Prüfsachverständiger</w:t>
      </w:r>
    </w:p>
    <w:p>
      <w:r>
        <w:rPr>
          <w:color w:val="555555"/>
          <w:sz w:val="18"/>
        </w:rPr>
        <w:t xml:space="preserve">Brandenburgische Prüfsachverständigenverordnung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Bezeichnung Prüfsachverständiger oder Prüfsachverständige dürfen nur Personen führen, die für einen bestimmten Fachbereich oder eine bestimmte Fachrichtung nach dieser Verordnung anerkannt sind.</w:t>
      </w:r>
    </w:p>
    <w:p>
      <w:r>
        <w:t xml:space="preserve">(2) Die Bezeichnung Prüfsachverständiger oder Prüfsachverständige darf nur mit der Angabe des Fachbereiches und der Fachrichtung geführt werden, für das der oder die Prüfsachverständige nach dieser Verordnung anerkannt ist.</w:t>
      </w:r>
    </w:p>
    <w:p>
      <w:r>
        <w:rPr>
          <w:color w:val="555555"/>
          <w:sz w:val="17"/>
        </w:rPr>
        <w:t xml:space="preserve">Zitiervorschlag: § 4 BbgPrüfSV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https://recht.nulegal.eu/gesetze/BbgPr%C3%BCfSV/4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BbgPrüfSV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