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BbgPolG (Brandenburg) — Legitimations- und Kennzeichnungspflicht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Verlangen des von einer Maßnahme Betroffenen haben sich Polizeivollzugsbedienstete auszuweisen.</w:t>
      </w:r>
    </w:p>
    <w:p>
      <w:r>
        <w:t xml:space="preserve">(2) Polizeivollzugsbedienstete tragen bei Amtshandlungen an ihrer Dienstkleidung ein Namensschild. Das Namensschild wird beim Einsatz geschlossener Einheiten durch eine zur nachträglichen Identitätsfeststellung geeignete Kennzeichnung ersetzt.</w:t>
      </w:r>
    </w:p>
    <w:p>
      <w:r>
        <w:t xml:space="preserve">(3) Die Legitimationspflicht und die namentliche Kennzeichnung gelten nicht, soweit der Zweck der Maßnahme oder Amtshandlung oder überwiegende schutzwürdige Belange des Polizeivollzugsbediensteten dadurch beeinträchtigt werden.</w:t>
      </w:r>
    </w:p>
    <w:p>
      <w:r>
        <w:t xml:space="preserve">(4) Das für Inneres zuständige Mitglied der Landesregierung regelt Inhalt, Umfang und Ausnahmen von diesen Verpflichtungen durch Verwaltungsvorschrift.</w:t>
      </w:r>
    </w:p>
    <w:p>
      <w:r>
        <w:rPr>
          <w:color w:val="555555"/>
          <w:sz w:val="17"/>
        </w:rPr>
        <w:t xml:space="preserve">Zitiervorschlag: § 9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