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87 BbgPolG (Brandenburg) — Verwaltungsabkommen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für Inneres zuständige Ministerium wird ermächtigt,</w:t>
      </w:r>
    </w:p>
    <w:p>
      <w:r>
        <w:t xml:space="preserve">Abkommen mit den Bundesländern über die erweiterte Zuständigkeit der Polizei der Bundesländer bei der Strafverfolgung,</w:t>
      </w:r>
    </w:p>
    <w:p>
      <w:r>
        <w:t xml:space="preserve">Abkommen mit der Bundesregierung über die Ausübung der schifffahrtspolizeilichen Vollzugsaufgaben und</w:t>
      </w:r>
    </w:p>
    <w:p>
      <w:r>
        <w:t xml:space="preserve">Abkommen mit der Bundesregierung über die Bereitschaftspolizei abzuschließen.</w:t>
      </w:r>
    </w:p>
    <w:p>
      <w:r>
        <w:rPr>
          <w:color w:val="555555"/>
          <w:sz w:val="17"/>
        </w:rPr>
        <w:t xml:space="preserve">Zitiervorschlag: § 87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