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BbgPolG (Brandenburg) — Verordnungsermächtigung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Inneres zuständige Mitglied der Landesregierung erlässt durch Rechtsverordnung nähere Bestimmungen. Dabei sollen insbesondere geregelt werden:</w:t>
      </w:r>
    </w:p>
    <w:p>
      <w:r>
        <w:t xml:space="preserve">Zahl der Beiräte,</w:t>
      </w:r>
    </w:p>
    <w:p>
      <w:r>
        <w:t xml:space="preserve">Mitgliederzahl und Wahl der Mitglieder,</w:t>
      </w:r>
    </w:p>
    <w:p>
      <w:r>
        <w:t xml:space="preserve">Aufgaben der Polizeibeiräte, Unterrichtungspflicht, Auskunftsrecht,</w:t>
      </w:r>
    </w:p>
    <w:p>
      <w:r>
        <w:t xml:space="preserve">Vorsitz, Geschäftsordnung und Geschäftsführung.</w:t>
      </w:r>
    </w:p>
    <w:p>
      <w:r>
        <w:rPr>
          <w:color w:val="555555"/>
          <w:sz w:val="17"/>
        </w:rPr>
        <w:t xml:space="preserve">Zitiervorschlag: § 85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https://recht.nulegal.eu/gesetze/BbgPolG/85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