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BbgPolG (Brandenburg) — Begriffsbestimmungen, zugelassene Waffen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Unmittelbarer Zwang ist die Einwirkung auf Personen oder Sachen durch körperliche Gewalt, ihre Hilfsmittel und durch Waffen.</w:t>
      </w:r>
    </w:p>
    <w:p>
      <w:r>
        <w:t xml:space="preserve">(2) Hilfsmittel der körperlichen Gewalt sind insbesondere Fesseln, Wasserwerfer, technische Sperren, Diensthunde, Dienstpferde, Dienstfahrzeuge, Reiz- und Betäubungsstoffe sowie zum Sprengen bestimmte explosionsfähige Stoffe (Sprengmittel).</w:t>
      </w:r>
    </w:p>
    <w:p>
      <w:r>
        <w:t xml:space="preserve">(3) Als Waffen sind Schlagstock, Pistole, Revolver, Gewehr, Maschinenpistole, Distanz-Elektroimpulsgerät sowie Explosivmittel zugelassen. Explosivmittel sind besondere Sprengmittel, die regelmäßig von einem festen Mantel umgeben sind.</w:t>
      </w:r>
    </w:p>
    <w:p>
      <w:r>
        <w:rPr>
          <w:color w:val="555555"/>
          <w:sz w:val="17"/>
        </w:rPr>
        <w:t xml:space="preserve">Zitiervorschlag: § 61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https://recht.nulegal.eu/gesetze/BbgPolG/61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