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BbgPolG (Brandenburg) — Ersatzvornahme</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die Verpflichtung, eine Handlung vorzunehmen, deren Vornahme durch einen anderen möglich ist (vertretbare Handlung), nicht erfüllt, so kann die Polizei auf Kosten des Betroffenen die Handlung selbst ausführen oder einen anderen mit der Ausführung beauftragen. Für die Durchführung der Ersatzvornahme werden Gebühren nach der Kostenordnung zum Verwaltungsvollstreckungsgesetz für das Land Brandenburg erhoben.</w:t>
      </w:r>
    </w:p>
    <w:p>
      <w:r>
        <w:t xml:space="preserve">(2) Es kann bestimmt werden, daß der Betroffene die voraussichtlichen Kosten der Ersatzvornahme im voraus zu zahlen hat. Zahlt der Betroffene die Kosten der Ersatzvornahme oder die voraussichtlich entstehenden Kosten der Ersatzvornahme nicht fristgerecht, so können sie im Verwaltungszwangsverfahren beigetrieben werden. Die Beitreibung der voraussichtlichen Kosten unterbleibt, sobald der Betroffene die gebotene Handlung ausführt.</w:t>
      </w:r>
    </w:p>
    <w:p>
      <w:r>
        <w:rPr>
          <w:color w:val="555555"/>
          <w:sz w:val="17"/>
        </w:rPr>
        <w:t xml:space="preserve">Zitiervorschlag: § 55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