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BbgPolG (Brandenburg) — Automatisiertes Abrufverfahren</w:t>
      </w:r>
    </w:p>
    <w:p>
      <w:r>
        <w:rPr>
          <w:color w:val="555555"/>
          <w:sz w:val="18"/>
        </w:rPr>
        <w:t xml:space="preserve">Brandenburgisches Polizeigesetz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Einrichtung eines automatisierten Verfahrens, das die Übermittlung personenbezogener Daten aus einer von der Polizei geführten Datei durch Abruf ermöglicht, ist zulässig; der Abruf darf nur Polizeibehörden gestattet werden. § 9 des Brandenburgischen Datenschutzgesetzes bleibt im Übrigen unberührt.</w:t>
      </w:r>
    </w:p>
    <w:p>
      <w:r>
        <w:t xml:space="preserve">(2) Die Polizei kann mit anderen Ländern oder dem Bund einen Datenverbund vereinbaren, der eine automatisierte Datenübermittlung ermöglicht.</w:t>
      </w:r>
    </w:p>
    <w:p>
      <w:r>
        <w:rPr>
          <w:color w:val="555555"/>
          <w:sz w:val="17"/>
        </w:rPr>
        <w:t xml:space="preserve">Zitiervorschlag: § 49 BbgPolG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https://recht.nulegal.eu/gesetze/BbgPolG/49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