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BbgPolG (Brandenburg) — Errichtung von Dateien, Umfang des Verfahrensverzeichnisses, Freigabe von Programmen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Errichtung von Dateien ist auf das erforderliche Maß zu beschränken. In angemessenen Abständen ist die Notwendigkeit ihrer Weiterführung oder Änderung zu prüfen.</w:t>
      </w:r>
    </w:p>
    <w:p>
      <w:r>
        <w:t xml:space="preserve">(2) In dem nach § 8 Abs. 1 des Brandenburgischen Datenschutzgesetzes zu erstellenden Verfahrensverzeichnis sind die durch dieses Gesetz vorgeschriebenen Löschungstermine oder die gemäß den §§ 37 und 39 Abs. 2 festzulegenden Prüfungstermine oder Aufbewahrungsfristen aufzuführen.</w:t>
      </w:r>
    </w:p>
    <w:p>
      <w:r>
        <w:t xml:space="preserve">(3) Ein Verfahrensverzeichnis nach § 8 Abs. 1 des Brandenburgischen Datenschutzgesetzes ist auch zu erstellen, wenn die Polizei personenbezogene Daten in einer automatisierten polizeilichen Verbunddatei speichert, die über das Land hinausgeht. Satz 1 gilt für die mit Zustimmung des Bundesministeriums des Innern geführten Verbunddateien des Bundeskriminalamtes nur insoweit, als ein Verfahrensverzeichnis nur für den Verantwortungsbereich der jeweiligen Dienststelle zu erstellen ist.</w:t>
      </w:r>
    </w:p>
    <w:p>
      <w:r>
        <w:t xml:space="preserve">(4) Über die Freigabe von Programmen zur Verarbeitung personenbezogener Daten auf zentralen oder dezentralen Datenverarbeitungsanlagen entscheidet das für Inneres zuständige Ministerium oder eine von ihm beauftragte Stelle.</w:t>
      </w:r>
    </w:p>
    <w:p>
      <w:r>
        <w:t xml:space="preserve">(5) Sofern die Dringlichkeit der Aufgabenerfüllung die sofortige Errichtung einer automatisierten Datei erforderlich macht, kann sie abweichend von § 7 Abs. 2 und 3 des Brandenburgischen Datenschutzgesetzes im Rahmen einer vom für Inneres zuständigen Ministerium mit dem Landesbeauftragten für den Datenschutz abgestimmten Richtlinie ohne vorherige Freigabe erfolgen.</w:t>
      </w:r>
    </w:p>
    <w:p>
      <w:r>
        <w:rPr>
          <w:color w:val="555555"/>
          <w:sz w:val="17"/>
        </w:rPr>
        <w:t xml:space="preserve">Zitiervorschlag: § 48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https://recht.nulegal.eu/gesetze/BbgPolG/48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