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BbgPolG (Brandenburg) — Berichtigung, Löschung und Sperrung von Daten</w:t>
      </w:r>
    </w:p>
    <w:p>
      <w:r>
        <w:rPr>
          <w:color w:val="555555"/>
          <w:sz w:val="18"/>
        </w:rPr>
        <w:t xml:space="preserve">Brandenburgisches Polizeigesetz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Personenbezogene Daten sind zu berichtigen, wenn sie unrichtig sind. Sind personenbezogene Daten in Akten zu berichtigen, ist in geeigneter Weise kenntlich zu machen, zu welchem Zeitpunkt und aus welchem Grund diese Daten unrichtig waren oder geworden sind.</w:t>
      </w:r>
    </w:p>
    <w:p>
      <w:r>
        <w:t xml:space="preserve">(2) In Dateien suchfähig gespeicherte personenbezogene Daten und die dazugehörigen zu den Personen suchfähig angelegten Akten sind zu löschen oder zu vernichten, wenn</w:t>
      </w:r>
    </w:p>
    <w:p>
      <w:r>
        <w:t xml:space="preserve">dies durch dieses Gesetz bestimmt ist,</w:t>
      </w:r>
    </w:p>
    <w:p>
      <w:r>
        <w:t xml:space="preserve">die Speicherung nicht zulässig ist oder</w:t>
      </w:r>
    </w:p>
    <w:p>
      <w:r>
        <w:t xml:space="preserve">bei der zu bestimmten Terminen vorzunehmenden Prüfung oder aus Anlaß einer Einzelfallbearbeitung festgestellt wird, daß die Daten für die Erfüllung der Aufgaben der speichernden Stelle nicht mehr erforderlich sind.</w:t>
      </w:r>
    </w:p>
    <w:p>
      <w:r>
        <w:t xml:space="preserve">In Dateien nicht suchfähig gespeicherte Daten sind unter den Voraussetzungen des Satzes 1 zu löschen, soweit die Speicherung festgestellt wird. Die nach Satz 1 Nr. 3 vorzunehmende Aktenvernichtung ist nur durchzuführen, wenn die gesamte Akte für die Aufgabenerfüllung nicht mehr erforderlich ist, es sei denn, daß der Betroffene die Vernichtung von Teilen der Akte verlangt und die weitere Speicherung ihn in unangemessener Weise beeinträchtigt. Soweit hiernach eine Vernichtung nicht in Betracht kommt, sind die Daten zu sperren und mit einem Sperrvermerk zu versehen.</w:t>
      </w:r>
    </w:p>
    <w:p>
      <w:r>
        <w:t xml:space="preserve">(3) Andere als die in Absatz 2 genannten Akten sind nach Ablauf der jeweiligen Aufbewahrungsfrist zu vernichten.</w:t>
      </w:r>
    </w:p>
    <w:p>
      <w:r>
        <w:t xml:space="preserve">(4) Stellt die Polizei fest, daß unrichtige oder nach Absatz 2 Satz 1 Nr. 2 zu löschende personenbezogene Daten übermittelt worden sind, ist dem Empfänger die Berichtigung oder Löschung mitzuteilen, es sei denn, die Mitteilung ist für die Beurteilung der Person oder des Sachverhalts nicht oder nicht mehr von Bedeutung.</w:t>
      </w:r>
    </w:p>
    <w:p>
      <w:r>
        <w:t xml:space="preserve">(5) Löschung und Vernichtung unterbleiben, wenn</w:t>
      </w:r>
    </w:p>
    <w:p>
      <w:r>
        <w:t xml:space="preserve">Grund zu der Annahme besteht, daß schutzwürdige Belange des Betroffenen beeinträchtigt werden,</w:t>
      </w:r>
    </w:p>
    <w:p>
      <w:r>
        <w:t xml:space="preserve">die Daten zur Behebung einer bestehenden Beweisnot unerläßlich sind oder</w:t>
      </w:r>
    </w:p>
    <w:p>
      <w:r>
        <w:t xml:space="preserve">die Nutzung der Daten zu wissenschaftlichen Zwecken erforderlich ist.</w:t>
      </w:r>
    </w:p>
    <w:p>
      <w:r>
        <w:t xml:space="preserve">In diesen Fällen sind die Daten zu sperren und mit einem Sperrvermerk zu versehen. Sie dürfen nur zu den in Satz 1 genannten Zwecken oder sonst mit Einwilligung des Betroffenen genutzt werden. Im Falle des Satzes 1 Nr. 3 gilt § 28 des Brandenburgischen Datenschutzgesetzes.</w:t>
      </w:r>
    </w:p>
    <w:p>
      <w:r>
        <w:t xml:space="preserve">(6) Anstelle der Löschung oder Vernichtung sind die Datenträger oder die Akten an ein öffentliches Archiv abzugeben, soweit archivrechtliche Regelungen dies vorsehen.</w:t>
      </w:r>
    </w:p>
    <w:p>
      <w:r>
        <w:rPr>
          <w:color w:val="555555"/>
          <w:sz w:val="17"/>
        </w:rPr>
        <w:t xml:space="preserve">Zitiervorschlag: § 47 BbgPolG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https://recht.nulegal.eu/gesetze/BbgPolG/47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