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BbgPolG (Brandenburg) — Datenübermittlung an öffentliche Stellen, an ausländische öffentliche Stellen sowie an über- und zwischenstaatliche Stellen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von sich aus personenbezogene Daten an öffentliche Stellen sowie an ausländische öffentliche und an über- und zwischenstaatliche Stellen übermitteln, soweit dies zur Erfüllung ihrer Aufgaben erforderlich ist.</w:t>
      </w:r>
    </w:p>
    <w:p>
      <w:r>
        <w:t xml:space="preserve">(2) Die Polizei kann von sich aus anderen für die Gefahrenabwehr zuständigen öffentlichen Stellen bei ihr vorhandene personenbezogene Daten übermitteln, soweit die Kenntnis dieser Daten zur Aufgabenerfüllung des Empfängers für den Bereich der Gefahrenabwehr erforderlich erscheint.</w:t>
      </w:r>
    </w:p>
    <w:p>
      <w:r>
        <w:t xml:space="preserve">(3) Die Polizei kann auf Ersuchen personenbezogene Daten an öffentliche Stellen übermitteln, soweit dies</w:t>
      </w:r>
    </w:p>
    <w:p>
      <w:r>
        <w:t xml:space="preserve">zur Abwehr einer Gefahr durch den Empfänger,</w:t>
      </w:r>
    </w:p>
    <w:p>
      <w:r>
        <w:t xml:space="preserve">in besonders gelagerten Einzelfällen zur Wahrnehmung einer sonstigen Gefahrenabwehraufgabe durch den Empfänger oder</w:t>
      </w:r>
    </w:p>
    <w:p>
      <w:r>
        <w:t xml:space="preserve">zur Abwehr erheblicher Nachteile für das Gemeinwohl oder zur Abwehr einer schwerwiegenden Beeinträchtigung der Rechte einer Person</w:t>
      </w:r>
    </w:p>
    <w:p>
      <w:r>
        <w:t xml:space="preserve">erforderlich ist.</w:t>
      </w:r>
    </w:p>
    <w:p>
      <w:r>
        <w:t xml:space="preserve">(4) Die Polizei kann personenbezogene Daten auf Ersuchen an ausländische öffentliche Stellen sowie an über- und zwischenstaatliche Stellen übermitteln, soweit dies zur Abwehr einer erheblichen Gefahr durch den Empfänger erforderlich ist. Die Datenübermittlung unterbleibt, soweit Grund zu der Annahme besteht, daß dadurch gegen den Zweck eines deutschen Gesetzes, insbesondere gegen die Vorschriften zur Speicherungs-, Nutzungs- oder Übermittlungsbeschränkung oder zur Löschungsverpflichtung, verstoßen wird oder schutzwürdige Belange des Betroffenen beeinträchtigt werden.</w:t>
      </w:r>
    </w:p>
    <w:p>
      <w:r>
        <w:rPr>
          <w:color w:val="555555"/>
          <w:sz w:val="17"/>
        </w:rPr>
        <w:t xml:space="preserve">Zitiervorschlag: § 43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