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BbgPolG (Brandenburg) — Datenabgleich</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Polizei kann personenbezogene Daten der in den §§ 5 und 6 genannten Personen mit dem Inhalt polizeilicher Dateien abgleichen. Personenbezogene Daten anderer Personen kann die Polizei nur abgleichen, wenn Tatsachen die Annahme rechtfertigen, daß dies zur Erfüllung einer bestimmten polizeilichen Aufgabe erforderlich ist. Die Polizei kann ferner rechtmäßig erlangte personenbezogene Daten mit dem Fahndungsbestand abgleichen.</w:t>
      </w:r>
    </w:p>
    <w:p>
      <w:r>
        <w:t xml:space="preserve">(2) Wird der Betroffene zur Durchführung einer nach einer anderen Rechtsvorschrift zulässigen Maßnahme angehalten und kann der Datenabgleich mit dem Fahndungsbestand nicht bis zum Abschluß dieser Maßnahme vorgenommen werden, darf der Betroffene weiterhin für den Zeitraum angehalten werden, der regelmäßig für die Durchführung eines Datenabgleichs notwendig ist.</w:t>
      </w:r>
    </w:p>
    <w:p>
      <w:r>
        <w:rPr>
          <w:color w:val="555555"/>
          <w:sz w:val="17"/>
        </w:rPr>
        <w:t xml:space="preserve">Zitiervorschlag: § 40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https://recht.nulegal.eu/gesetze/BbgPolG/40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