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36a BbgPolG (Brandenburg) — Anlassbezogene automatische Kennzeichenfahndung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Polizei kann die Kennzeichen von Fahrzeugen ohne Wissen der Person durch den Einsatz technischer Mittel automatisiert erheben, wenn</w:t>
      </w:r>
    </w:p>
    <w:p>
      <w:r>
        <w:t xml:space="preserve">dies zur Abwehr einer gegenwärtigen Gefahr für Leib oder Leben einer Person erforderlich ist,</w:t>
      </w:r>
    </w:p>
    <w:p>
      <w:r>
        <w:t xml:space="preserve">dies zur Abwehr einer gegenwärtigen Gefahr erforderlich ist und die Voraussetzungen für eine Identitätsfeststellung nach § 12 Abs. 1 Nr. 2 bis 4 vorliegen oder</w:t>
      </w:r>
    </w:p>
    <w:p>
      <w:r>
        <w:t xml:space="preserve">eine Person oder ein Fahrzeug nach § 36 Abs. 1 und 1a polizeilich ausgeschrieben wurde und Tatsachen die Annahme rechtfertigen, dass die für die Ausschreibung relevante Begehung von Straftaten unmittelbar bevorsteht.</w:t>
      </w:r>
    </w:p>
    <w:p>
      <w:r>
        <w:t xml:space="preserve">Der Einsatz technischer Mittel ist zum Zweck der Kontrolle in geeigneter Weise zu dokumentieren.</w:t>
      </w:r>
    </w:p>
    <w:p>
      <w:r>
        <w:t xml:space="preserve">(2) Die erhobenen Daten können mit zur Abwehr der Gefahr nach Absatz 1 gespeicherten polizeilichen Daten automatisch abgeglichen werden. Im Trefferfall ist unverzüglich die Datenübereinstimmung zu überprüfen. Bei Datenübereinstimmung können die Daten polizeilich verarbeitet und im Falle des Absatzes 1 Nummer 3 zusammen mit den gewonnenen Erkenntnissen an die ausschreibende Stelle übermittelt werden. Andernfalls sind sie sofort zu löschen.</w:t>
      </w:r>
    </w:p>
    <w:p>
      <w:r>
        <w:t xml:space="preserve">(3) Das für Inneres zuständige Mitglied der Landesregierung erstattet dem Landtag jährlich einen Bericht über jede Maßnahme, der Angaben enthält über deren Anlass und Dauer.</w:t>
      </w:r>
    </w:p>
    <w:p>
      <w:r>
        <w:rPr>
          <w:color w:val="555555"/>
          <w:sz w:val="17"/>
        </w:rPr>
        <w:t xml:space="preserve">Zitiervorschlag: § 36a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https://recht.nulegal.eu/gesetze/BbgPolG/36a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