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BbgPolG (Brandenburg) — Verhältnis zu anderen Behörden</w:t>
      </w:r>
    </w:p>
    <w:p>
      <w:r>
        <w:rPr>
          <w:color w:val="555555"/>
          <w:sz w:val="18"/>
        </w:rPr>
        <w:t xml:space="preserve">Brandenburgisches Polizeigesetz</w:t>
      </w:r>
    </w:p>
    <w:p>
      <w:r>
        <w:rPr>
          <w:color w:val="555555"/>
          <w:sz w:val="18"/>
        </w:rPr>
        <w:t xml:space="preserve">Landesrecht Brandenburg</w:t>
      </w:r>
    </w:p>
    <w:p>
      <w:r>
        <w:rPr>
          <w:color w:val="555555"/>
          <w:sz w:val="18"/>
        </w:rPr>
        <w:t xml:space="preserve">Stand: 26.07.2026 (konsolidierte Textfassung, kein amtliches Inkrafttretensdatum)</w:t>
      </w:r>
    </w:p>
    <w:p>
      <w:r>
        <w:t xml:space="preserve">Die Polizei wird, außer in den Fällen des § 1 Abs. 1 Satz 2, nur tätig, soweit die Abwehr der Gefahr durch eine andere Behörde nicht oder nicht rechtzeitig möglich erscheint. Sie unterrichtet die anderen Behörden unverzüglich von allen Vorgängen, deren Kenntnis für die Aufgabenerfüllung der anderen Behörden notwendig sein kann.</w:t>
      </w:r>
    </w:p>
    <w:p>
      <w:r>
        <w:rPr>
          <w:color w:val="555555"/>
          <w:sz w:val="17"/>
        </w:rPr>
        <w:t xml:space="preserve">Zitiervorschlag: § 2 BbgPolG (Brandenburg)</w:t>
      </w:r>
    </w:p>
    <w:p>
      <w:r>
        <w:rPr>
          <w:color w:val="555555"/>
          <w:sz w:val="17"/>
        </w:rPr>
        <w:t xml:space="preserve">Quelle: bravors, abgerufen 26.07.2026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