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16b BbgPolG (Brandenburg) — Kontakt- und Näherungsverbot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Einer Person kann untersagt werden, sowohl</w:t>
      </w:r>
    </w:p>
    <w:p>
      <w:r>
        <w:t xml:space="preserve">Kontakt zu einer gefährdeten Person, auch unter Verwendung von Fernkommunikationsmitteln, aufzunehmen, als auch</w:t>
      </w:r>
    </w:p>
    <w:p>
      <w:r>
        <w:t xml:space="preserve">Zusammentreffen mit einer gefährdeten Person herbeizuführen,</w:t>
      </w:r>
    </w:p>
    <w:p>
      <w:r>
        <w:t xml:space="preserve">wenn dies zur Abwehr einer Gefahr für Leib, Leben, Freiheit oder die sexuelle Selbstbestimmung der gefährdeten Person erforderlich ist (Kontakt- und Näherungsverbot). § 16a Absatz 4 bis 7 gilt entsprechend.</w:t>
      </w:r>
    </w:p>
    <w:p>
      <w:r>
        <w:rPr>
          <w:color w:val="555555"/>
          <w:sz w:val="17"/>
        </w:rPr>
        <w:t xml:space="preserve">Zitiervorschlag: § 16b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https://recht.nulegal.eu/gesetze/BbgPolG/16b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