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BbgPolG (Brandenburg) — Platzverweisung und Aufenthaltsverbot</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zur Abwehr einer Gefahr eine Person vorübergehend von einem Ort verweisen oder ihr vorübergehend das Betreten eines Ortes verbieten. Die Platzverweisung kann ferner gegen Personen angeordnet werden, die den Einsatz der Feuerwehr oder von Hilfs- oder Rettungsdiensten behindern.</w:t>
      </w:r>
    </w:p>
    <w:p>
      <w:r>
        <w:t xml:space="preserve">(2) Die Polizei kann zur Verhütung von Straftaten einer Person untersagen, einen bestimmten Ort oder ein Gebiet innerhalb einer Gemeinde oder auch ein gesamtes Gemeindegebiet zu betreten, wenn Tatsachen die Annahme rechtfertigen, dass die Person dort eine Straftat begehen oder zu ihrer Begehung beitragen wird. Das Verbot ist schriftlich oder elektronisch zu erteilen und zeitlich auf längstens drei Monate und örtlich auf den zur Verhütung der Straftat erforderlichen Umfang zu beschränken. Das Aufenthaltsverbot darf dem Betroffenen weder den berechtigten Zugang zur Wohnung verwehren noch die Wahrnehmung berechtigter Interessen des Betroffenen und anderer Personen verhindern. Die Vorschriften des Versammlungsrechts bleiben unberührt.</w:t>
      </w:r>
    </w:p>
    <w:p>
      <w:r>
        <w:rPr>
          <w:color w:val="555555"/>
          <w:sz w:val="17"/>
        </w:rPr>
        <w:t xml:space="preserve">Zitiervorschlag: § 16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