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BbgPolDkÜV (Brandenburg) — Übertragung</w:t>
      </w:r>
    </w:p>
    <w:p>
      <w:r>
        <w:rPr>
          <w:color w:val="555555"/>
          <w:sz w:val="18"/>
        </w:rPr>
        <w:t xml:space="preserve">Polizeidienstkleidungsübertragungsverordnung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Befugnis nach § 59</w:t>
      </w:r>
    </w:p>
    <w:p>
      <w:r>
        <w:t xml:space="preserve">Satz 2 des Landesbeamtengesetzes zum Erlass von Verwaltungsvorschriften über die</w:t>
      </w:r>
    </w:p>
    <w:p>
      <w:r>
        <w:t xml:space="preserve">Dienstkleidung wird für den Bereich des Polizeivollzugsdienstes des Landes</w:t>
      </w:r>
    </w:p>
    <w:p>
      <w:r>
        <w:t xml:space="preserve">Brandenburg auf das Ministerium des Innern übertragen.</w:t>
      </w:r>
    </w:p>
    <w:p>
      <w:r>
        <w:rPr>
          <w:color w:val="555555"/>
          <w:sz w:val="17"/>
        </w:rPr>
        <w:t xml:space="preserve">Zitiervorschlag: § 1 BbgPolDkÜV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https://recht.nulegal.eu/gesetze/BbgPolDk%C3%9CV/1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