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BbgPflSchV (Brandenburg) — Durchführung der Pflanzenschutzsachkundeprüfung</w:t>
      </w:r>
    </w:p>
    <w:p>
      <w:r>
        <w:rPr>
          <w:color w:val="555555"/>
          <w:sz w:val="18"/>
        </w:rPr>
        <w:t xml:space="preserve">Brandenburgische Pflanzenschutzverordnung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zuständige Behörde beschließt die Prüfungsaufgaben auf der Grundlage von § 3 der Pflanzenschutz-Sachkundeverordnung vom 27. Juni 2013 (BGBl. I S. 1953), die zuletzt durch Artikel 376 der Verordnung vom 31. August 2015 (BGBl. I S. 1474, 1530) geändert worden ist, in der jeweils geltenden Fassung.</w:t>
      </w:r>
    </w:p>
    <w:p>
      <w:r>
        <w:t xml:space="preserve">(2) Die Prüfung ist nicht öffentlich.</w:t>
      </w:r>
    </w:p>
    <w:p>
      <w:r>
        <w:t xml:space="preserve">(3) In der schriftlichen Prüfung ist ein Fragebogen mit 60 Fragen innerhalb von 60 Minuten zu bearbeiten.</w:t>
      </w:r>
    </w:p>
    <w:p>
      <w:r>
        <w:t xml:space="preserve">(4) Die Voraussetzung zur Zulassung der mündlichen und fachpraktischen Prüfung ist das Bestehen der schriftlichen Prüfung.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BbgPflSchV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https://recht.nulegal.eu/gesetze/BbgPflSchV/3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