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BbgPflBUmG (Brandenburg) — Einschränkung von Grundrechten</w:t>
      </w:r>
    </w:p>
    <w:p>
      <w:r>
        <w:rPr>
          <w:color w:val="555555"/>
          <w:sz w:val="18"/>
        </w:rPr>
        <w:t xml:space="preserve">Brandenburgisches Pflegeberufeumsetzungsgesetz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§ 3 Nummer 1 bis 8 wird das Grundrecht auf Datenschutz (Artikel 11 Absatz 1 der Verfassung des Landes Brandenburg), durch § 3 Nummer 1 und 2 wird das Grundrecht der Unverletzlichkeit der Wohnung (Artikel 13 des Grundgesetzes, Artikel 15 der Verfassung des Landes Brandenburg) und durch § 3 Nummer 3 wird das Grundrecht auf Berufsfreiheit (Artikel 49 Absatz 1 der Verfassung des Landes Brandenburg) eingeschränkt.</w:t>
      </w:r>
    </w:p>
    <w:p>
      <w:r>
        <w:rPr>
          <w:color w:val="555555"/>
          <w:sz w:val="17"/>
        </w:rPr>
        <w:t xml:space="preserve">Zitiervorschlag: § 4 BbgPflBUmG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https://recht.nulegal.eu/gesetze/BbgPflBUmG/4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