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BbgPflAFinV (Brandenburg) — Bußgeldvorschriften</w:t>
      </w:r>
    </w:p>
    <w:p>
      <w:r>
        <w:rPr>
          <w:color w:val="555555"/>
          <w:sz w:val="18"/>
        </w:rPr>
        <w:t xml:space="preserve">Brandenburgische Pflegeberufe-Ausbildungsfinanzierungsverordnung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Ordnungswidrig handelt, wer vorsätzlich oder fahrlässig</w:t>
      </w:r>
    </w:p>
    <w:p>
      <w:r>
        <w:t xml:space="preserve">entgegen des § 3 Absatz 3 die mitzuteilenden Daten der zuständigen Stelle nicht fristgerecht meldet oder entgegen des § 5 Absatz 3 der Pflegeberufe-Ausbildungsfinanzierungsverordnung eine Aktualisierung der Angaben nicht mitteilt oder eine Änderung der Angaben nicht unverzüglich mitteilt,</w:t>
      </w:r>
    </w:p>
    <w:p>
      <w:r>
        <w:t xml:space="preserve">entgegen des § 3 Absatz 3 die zur Prüfung der gemeldeten Daten angeforderten Nachweise nicht fristgerecht vorlegt,</w:t>
      </w:r>
    </w:p>
    <w:p>
      <w:r>
        <w:t xml:space="preserve">entgegen des § 6 Absatz 2 den festgesetzten monatlichen Umlagebetrag nicht fristgerecht zahlt,</w:t>
      </w:r>
    </w:p>
    <w:p>
      <w:r>
        <w:t xml:space="preserve">entgegen des § 7 Absatz 1 die Abrechnungen der Ausgleichszuweisungen nicht fristgerecht vorlegt,</w:t>
      </w:r>
    </w:p>
    <w:p>
      <w:r>
        <w:t xml:space="preserve">entgegen des § 8 Absatz 1 die Abrechnungen und die in Rechnung gestellten Ausbildungszuschläge nicht fristgerecht vorlegt oder entgegen des § 8 Absatz 2 die darüber angeforderten Nachweise nicht fristgerecht vorlegt.</w:t>
      </w:r>
    </w:p>
    <w:p>
      <w:r>
        <w:t xml:space="preserve">Die Ordnungswidrigkeit kann entsprechend des § 17 Absatz 1 des Gesetzes über Ordnungswidrigkeiten in der Fassung der Bekanntmachung vom 19. Februar 1987 (BGBl. I S. 602), das zuletzt durch Artikel 3 des Gesetzes vom 30. November 2020 (BGBl. I S. 2600) geändert worden ist, mit einer Geldbuße von bis zu 1 000 Euro geahndet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BbgPflAFinV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https://recht.nulegal.eu/gesetze/BbgPflAFinV/9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