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BbgPflAFinV (Brandenburg) — Abrechnung der Umlagebeträge</w:t>
      </w:r>
    </w:p>
    <w:p>
      <w:r>
        <w:rPr>
          <w:color w:val="555555"/>
          <w:sz w:val="18"/>
        </w:rPr>
        <w:t xml:space="preserve">Brandenburgische Pflegeberufe-Ausbildungsfinanzierungsverordnung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Krankenhäuser und Pflegeeinrichtungen nach § 7 Absatz 1 des Pflegeberufegesetzes haben die Abrechnungen und die in Rechnung gestellten Ausbildungszuschläge nach § 17 Absatz 1 der Pflegeberufe-Ausbildungsfinanzierungsverordnung unter Einhaltung der dort bestimmten Frist vorzulegen. Satz 1 gilt für den mitzuteilenden Differenzbetrag im Sinne des § 17 Absatz 1 Satz 1 der Pflegeberufe-Ausbildungsfinanzierungsverordnung entsprechend.</w:t>
      </w:r>
    </w:p>
    <w:p>
      <w:r>
        <w:t xml:space="preserve">(2) Für die Prüfung der Abrechnung der Umlagebeträge nach Absatz 1 kann unter angemessener Fristsetzung die Vorlage geeigneter Nachweise angefordert werden.</w:t>
      </w:r>
    </w:p>
    <w:p>
      <w:r>
        <w:t xml:space="preserve">(3) Die zuständige Stelle prüft den von den Einrichtungen im Sinne des § 7 Absatz 1 des Pflegeberufegesetzes mitgeteilten Differenzbetrag anhand der vorgelegten Abrechnung der im Finanzierungszeitraum geleisteten monatlichen Umlagebeträge und der jeweils in Rechnung gestellten Ausbildungszuschläge nach § 17 Absatz 1 der Pflegeberufe-Ausbildungsfinanzierungsverordnung und gleicht den Differenzbetrag auf dieser Grundlage nach § 17 Absatz 2 der Pflegeberufe-Ausbildungsfinanzierungsverordnung innerhalb des nächsten Finanzierungszeitraumes aus. Die zuständige Stelle kann dabei in begründeten Einzelfällen verspätet vorgelegte Abrechnungen berücksichtigen.</w:t>
      </w:r>
    </w:p>
    <w:p>
      <w:r>
        <w:t xml:space="preserve">(4) Der Differenzbetrag nach § 17 Absatz 2 der Pflegeberufe-Ausbildungsfinanzierungsverordnung wird den Einrichtungen durch die zuständige Stelle nur ausgeglichen, sofern diese die Zahlung der Umlagebeträge vorgenommen haben und die jeweiligen leistungsrechtlichen Möglichkeiten einer Refinanzierung der Umlagebeträge ausgeschöpft haben.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BbgPflAFinV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https://recht.nulegal.eu/gesetze/BbgPflAFinV/8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