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BbgPat-MobUG (Brandenburg) — Informationsübermittlung und Verwaltungszusammenarbeit</w:t>
      </w:r>
    </w:p>
    <w:p>
      <w:r>
        <w:rPr>
          <w:color w:val="555555"/>
          <w:sz w:val="18"/>
        </w:rPr>
        <w:t xml:space="preserve">Brandenburgisches Patientenmobilitätsumsetzungsgesetz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Gesundheitsdienstleisterinnen und –dienstleister sind verpflichtet, zur</w:t>
      </w:r>
    </w:p>
    <w:p>
      <w:r>
        <w:t xml:space="preserve">Erfüllung der der nationalen Kontaktstelle gemäß Artikel 6 Absatz 3 der</w:t>
      </w:r>
    </w:p>
    <w:p>
      <w:r>
        <w:t xml:space="preserve">Richtlinie 2011/24/EU obliegenden Informationspflichten, auf Nachfrage den in</w:t>
      </w:r>
    </w:p>
    <w:p>
      <w:r>
        <w:t xml:space="preserve">§ 219d Absatz 1 Satz 3 des Fünften Buches Sozialgesetzbuch genannten</w:t>
      </w:r>
    </w:p>
    <w:p>
      <w:r>
        <w:t xml:space="preserve">Organisationen die erforderlichen Informationen zur Verfügung zu stellen. Das</w:t>
      </w:r>
    </w:p>
    <w:p>
      <w:r>
        <w:t xml:space="preserve">gilt nicht, soweit die nationale Kontaktstelle nach § 219d des Fünften Buches</w:t>
      </w:r>
    </w:p>
    <w:p>
      <w:r>
        <w:t xml:space="preserve">Sozialgesetzbuch diese Informationen bereits anderweitig erhalten hat.</w:t>
      </w:r>
    </w:p>
    <w:p>
      <w:r>
        <w:t xml:space="preserve">(2) Die Bereitstellung von Informationen nach Artikel 10 Absatz 4 der Richtlinie</w:t>
      </w:r>
    </w:p>
    <w:p>
      <w:r>
        <w:t xml:space="preserve">2011/24/EU im Binnenmarktinformationssystem erfolgt durch die jeweiligen für die</w:t>
      </w:r>
    </w:p>
    <w:p>
      <w:r>
        <w:t xml:space="preserve">Gesundheitsberufe zuständigen Landesämter.</w:t>
      </w:r>
    </w:p>
    <w:p>
      <w:r>
        <w:t xml:space="preserve">1 )</w:t>
      </w:r>
    </w:p>
    <w:p>
      <w:r>
        <w:t xml:space="preserve">Artikel 1 dieses Gesetzes dient mit Ausnahme von § 4 Absatz 1 Satz 2 der</w:t>
      </w:r>
    </w:p>
    <w:p>
      <w:r>
        <w:t xml:space="preserve">Umsetzung der Richtlinie 2011/24/EU des Europäischen Parlaments und des</w:t>
      </w:r>
    </w:p>
    <w:p>
      <w:r>
        <w:t xml:space="preserve">Rates vom 9. März 2011 über die Ausübung der Patientenrechte in der</w:t>
      </w:r>
    </w:p>
    <w:p>
      <w:r>
        <w:t xml:space="preserve">grenzüberschreitenden Gesundheitsversorgung (ABl. L 88 vom 4.4.2011, S.</w:t>
      </w:r>
    </w:p>
    <w:p>
      <w:r>
        <w:t xml:space="preserve">45), die durch die Richtlinie 2013/64/EU (ABl. L 353 vom 28.12.2013, S.</w:t>
      </w:r>
    </w:p>
    <w:p>
      <w:r>
        <w:t xml:space="preserve">8) geändert worden ist.</w:t>
      </w:r>
    </w:p>
    <w:p>
      <w:r>
        <w:rPr>
          <w:color w:val="555555"/>
          <w:sz w:val="17"/>
        </w:rPr>
        <w:t xml:space="preserve">Zitiervorschlag: § 5 BbgPat-MobUG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https://recht.nulegal.eu/gesetze/BbgPat-MobUG/5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