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BbgPat-MobUG (Brandenburg) — Begriffsbestimmungen</w:t>
      </w:r>
    </w:p>
    <w:p>
      <w:r>
        <w:rPr>
          <w:color w:val="555555"/>
          <w:sz w:val="18"/>
        </w:rPr>
        <w:t xml:space="preserve">Brandenburgisches Patientenmobilitätsumsetzungsgesetz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</w:t>
      </w:r>
    </w:p>
    <w:p>
      <w:r>
        <w:t xml:space="preserve">Unter Gesundheitsdienstleistungen sind alle Leistungen zu verstehen, die</w:t>
      </w:r>
    </w:p>
    <w:p>
      <w:r>
        <w:t xml:space="preserve">von Gesundheitsdienstleisterinnen und Gesundheitsdienstleistern gegenüber</w:t>
      </w:r>
    </w:p>
    <w:p>
      <w:r>
        <w:t xml:space="preserve">Patientinnen und Patienten erbracht werden, um deren Gesundheitszustand zu</w:t>
      </w:r>
    </w:p>
    <w:p>
      <w:r>
        <w:t xml:space="preserve">beurteilen, zu erhalten oder wiederherzustellen, einschließlich der</w:t>
      </w:r>
    </w:p>
    <w:p>
      <w:r>
        <w:t xml:space="preserve">Verschreibung, Abgabe und Bereitstellung von Arzneimitteln und Medizinprodukten.</w:t>
      </w:r>
    </w:p>
    <w:p>
      <w:r>
        <w:t xml:space="preserve">(2)</w:t>
      </w:r>
    </w:p>
    <w:p>
      <w:r>
        <w:t xml:space="preserve">Gesundheitsdienstleisterinnen und Gesundheitsdienstleister sind alle</w:t>
      </w:r>
    </w:p>
    <w:p>
      <w:r>
        <w:t xml:space="preserve">Angehörigen der Gesundheitsberufe und alle juristischen Personen, die</w:t>
      </w:r>
    </w:p>
    <w:p>
      <w:r>
        <w:t xml:space="preserve">Gesundheitsdienstleistungen auf der Grundlage einer staatlichen Erlaubnis</w:t>
      </w:r>
    </w:p>
    <w:p>
      <w:r>
        <w:t xml:space="preserve">entweder persönlich oder durch bei ihnen beschäftigte Personen gegenüber</w:t>
      </w:r>
    </w:p>
    <w:p>
      <w:r>
        <w:t xml:space="preserve">Patientinnen und Patienten erbringen.</w:t>
      </w:r>
    </w:p>
    <w:p>
      <w:r>
        <w:t xml:space="preserve">(3)</w:t>
      </w:r>
    </w:p>
    <w:p>
      <w:r>
        <w:t xml:space="preserve">Angehörige der Gesundheitsberufe sind Ärztinnen und Ärzte, Gesundheits-</w:t>
      </w:r>
    </w:p>
    <w:p>
      <w:r>
        <w:t xml:space="preserve">und Krankenpflegerinnen und Gesundheits- und Krankenpfleger, Zahnärztinnen und</w:t>
      </w:r>
    </w:p>
    <w:p>
      <w:r>
        <w:t xml:space="preserve">Zahnärzte, Hebammen und Entbindungspfleger, Apothekerinnen und Apotheker oder</w:t>
      </w:r>
    </w:p>
    <w:p>
      <w:r>
        <w:t xml:space="preserve">andere Fachkräfte, die im Gesundheitswesen Tätigkeiten ausüben, die einem</w:t>
      </w:r>
    </w:p>
    <w:p>
      <w:r>
        <w:t xml:space="preserve">reglementierten Beruf im Sinne von Artikel 3 Absatz 1 Buchstabe a der Richtlinie</w:t>
      </w:r>
    </w:p>
    <w:p>
      <w:r>
        <w:t xml:space="preserve">2005/36/EG vorbehalten sind oder Personen, die nach den Vorschriften des Bundes</w:t>
      </w:r>
    </w:p>
    <w:p>
      <w:r>
        <w:t xml:space="preserve">und der Länder als Angehörige eines geregelten Gesundheitsberufes gelten.</w:t>
      </w:r>
    </w:p>
    <w:p>
      <w:r>
        <w:t xml:space="preserve">(4)</w:t>
      </w:r>
    </w:p>
    <w:p>
      <w:r>
        <w:t xml:space="preserve">Patientin oder Patient ist jede natürliche Person, die</w:t>
      </w:r>
    </w:p>
    <w:p>
      <w:r>
        <w:t xml:space="preserve">Gesundheitsdienstleistungen in Anspruch nimmt oder nehmen möchte.</w:t>
      </w:r>
    </w:p>
    <w:p>
      <w:r>
        <w:rPr>
          <w:color w:val="555555"/>
          <w:sz w:val="17"/>
        </w:rPr>
        <w:t xml:space="preserve">Zitiervorschlag: § 2 BbgPat-MobUG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https://recht.nulegal.eu/gesetze/BbgPat-MobUG/2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