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BbgPStV (Brandenburg) — Datenschutz-Folgenabschätzung</w:t>
      </w:r>
    </w:p>
    <w:p>
      <w:r>
        <w:rPr>
          <w:color w:val="555555"/>
          <w:sz w:val="18"/>
        </w:rPr>
        <w:t xml:space="preserve">Brandenburgische Personenstandsverordnung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Werden personenbezogene Daten in elektronischen Personenstandsregistern oder aufgrund dieser Verordnung verarbeitet, ist eine Datenschutz-Folgenabschätzung auf der Grundlage einer Risikobewertung nur in Bezug auf die in Artikel 35 Absatz 7 Buchstabe d der Verordnung (EU) 2016/679 genannten technischen und organisatorischen Maßnahmen durchzuführen. § 4 des Brandenburgischen Datenschutzgesetzes vom 8. Mai 2018 (GVBl. I Nr. 7), das durch Artikel 7 des Gesetzes vom 19. Juni 2019 (GVBl. I Nr. 43 S. 38) geändert worden ist, in der jeweils geltenden Fassung bleibt unberührt.</w:t>
      </w:r>
    </w:p>
    <w:p>
      <w:r>
        <w:rPr>
          <w:color w:val="555555"/>
          <w:sz w:val="17"/>
        </w:rPr>
        <w:t xml:space="preserve">Zitiervorschlag: § 9 BbgPStV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https://recht.nulegal.eu/gesetze/BbgPStV/9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