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BbgPStV (Brandenburg) — Untere Fachaufsichtsbehörden</w:t>
      </w:r>
    </w:p>
    <w:p>
      <w:r>
        <w:rPr>
          <w:color w:val="555555"/>
          <w:sz w:val="18"/>
        </w:rPr>
        <w:t xml:space="preserve">Brandenburgische Personenstandsverordnung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Den unteren Fachaufsichtsbehörden ist zur Wahrnehmung ihrer Aufsichtsaufgaben lesender Zugriff auf die elektronischen Personenstandsregister zu gewähren.</w:t>
      </w:r>
    </w:p>
    <w:p>
      <w:r>
        <w:t xml:space="preserve">(2) Werden Sammelakten elektronisch geführt, gilt Absatz 1 entsprechend.</w:t>
      </w:r>
    </w:p>
    <w:p>
      <w:r>
        <w:t xml:space="preserve">(3) Für den Zugriff gilt § 5 Absatz 2 und 4 entsprechend.</w:t>
      </w:r>
    </w:p>
    <w:p>
      <w:r>
        <w:rPr>
          <w:color w:val="555555"/>
          <w:sz w:val="17"/>
        </w:rPr>
        <w:t xml:space="preserve">Zitiervorschlag: § 11 BbgPStV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https://recht.nulegal.eu/gesetze/BbgPStV/11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