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BbgPStV (Brandenburg) — Elektronische Sammelakte</w:t>
      </w:r>
    </w:p>
    <w:p>
      <w:r>
        <w:rPr>
          <w:color w:val="555555"/>
          <w:sz w:val="18"/>
        </w:rPr>
        <w:t xml:space="preserve">Brandenburgische Personenstandsverordnung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Werden Sammelakten elektronisch geführt, ist eine Verknüpfung mit den elektronischen Personenstandsregistern zu gewährleisten.</w:t>
      </w:r>
    </w:p>
    <w:p>
      <w:r>
        <w:t xml:space="preserve">(2) Sammelakten sind nicht Bestandteil des zentralen elektronischen Personenstandsregisters.</w:t>
      </w:r>
    </w:p>
    <w:p>
      <w:r>
        <w:rPr>
          <w:color w:val="555555"/>
          <w:sz w:val="17"/>
        </w:rPr>
        <w:t xml:space="preserve">Zitiervorschlag: § 10 BbgPStV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https://recht.nulegal.eu/gesetze/BbgPStV/10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