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BbgPLV (Brandenburg) — Menschen mit Behinderung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Menschen mit Behinderung darf bei der Übertragung höherbewerteter Dienstposten und einer Beförderung nur die hierfür notwendige körperliche Eignung verlangt werden. Die fachlichen Anforderungen dürfen nicht geringer bemessen werden.</w:t>
      </w:r>
    </w:p>
    <w:p>
      <w:r>
        <w:t xml:space="preserve">(2) Bei der Beurteilung der Leistung von Menschen mit Behinderung ist eine etwaige Minderung der Arbeits- und Verwendungsfähigkeit aufgrund der Behinderung zu berücksichtigen.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