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BbgPLV (Brandenburg) — Laufbahnrechtliche Dienstzeiten</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Laufbahnrechtliche Dienstzeiten rechnen vom Zeitpunkt der Ernennung in das Beamtenverhältnis auf Lebenszeit an. Erfolgte vor dem 9. April 2009 die Verleihung eines Amtes vor der Ernennung in das Beamtenverhältnis auf Lebenszeit, rechnen die Dienstzeiten vom Zeitpunkt der Verleihung des Amtes an. Dienstzeiten, die über die im Einzelfall festgelegte Probezeit hinaus geleistet worden sind, sind anzurechnen. Zeiten einer Beurlaubung ohne Dienstbezüge sind keine laufbahnrechtlichen Dienstzeiten.</w:t>
      </w:r>
    </w:p>
    <w:p>
      <w:r>
        <w:t xml:space="preserve">(2) Abweichend von Absatz 1 Satz 1 gelten Zeiten des Grundwehrdienstes und von Wehrübungen sowie die Zeit des Zivildienstes als laufbahnrechtliche Dienstzeiten.</w:t>
      </w:r>
    </w:p>
    <w:p>
      <w:r>
        <w:t xml:space="preserve">(3) Abweichend von Absatz 1 Satz 4 gelten als laufbahnrechtliche Dienstzeiten:</w:t>
      </w:r>
    </w:p>
    <w:p>
      <w:r>
        <w:t xml:space="preserve">die Zeit eines Urlaubs, wenn der Urlaub für eine Tätigkeit als wissenschaftliche Assistentin oder wissenschaftlicher Assistent oder Geschäftsführerin oder Geschäftsführer bei Fraktionen des Europäischen Parlaments, des Deutschen Bundestages oder eines Landtages sowie bei kommunalen Spitzenverbänden erteilt oder unter vollständiger oder teilweiser Fortgewährung der Dienstbezüge erteilt wurde, in den übrigen Fällen einer im öffentlichen oder dienstlichen Interesse liegenden Beurlaubung nur bis zu einer Dauer von insgesamt zwei Jahren,</w:t>
      </w:r>
    </w:p>
    <w:p>
      <w:r>
        <w:t xml:space="preserve">die Zeit eines Urlaubs nach der Mutterschutz- und Elternzeitverordnung vom 12. Februar 2009 ( BGBl. I S. 320), die zuletzt durch Artikel 1 der Verordnung vom 9. Februar 2018 (BGBl. I S. 198) geändert worden ist, in der jeweils geltenden Fassung oder einer Beurlaubung nach § 80 Absatz 1 Satz 1 Nummer 2 des Landesbeamtengesetzes; dabei wird jeweils der Zeitraum der tatsächlichen Verzögerung bis zu einem Jahr zugrunde gelegt, insgesamt höchstens bis zu drei Jahren.</w:t>
      </w:r>
    </w:p>
    <w:p>
      <w:r>
        <w:t xml:space="preserve">In den Fällen des Satzes 1 Nummer 1 ist § 11 Absatz 1 Satz 2 entsprechend anzuwenden.</w:t>
      </w:r>
    </w:p>
    <w:p>
      <w:r>
        <w:t xml:space="preserve">(4) Zeiten, die nach dem Bestehen einer Laufbahnprüfung in einem Beschäftigungsverhältnis im öffentlichen Dienst zurückgelegt worden sind, sollen auf die Dienstzeit angerechnet werden, wenn</w:t>
      </w:r>
    </w:p>
    <w:p>
      <w:r>
        <w:t xml:space="preserve">die Übernahme in ein Beamtenverhältnis auf Probe aus nicht von der Beamtin oder dem Beamten zu vertretenden Gründen unterblieben ist,</w:t>
      </w:r>
    </w:p>
    <w:p>
      <w:r>
        <w:t xml:space="preserve">die Tätigkeit nach Art und Bedeutung mindestens der Tätigkeit in einem Amt der betreffenden Laufbahn entsprochen hat und</w:t>
      </w:r>
    </w:p>
    <w:p>
      <w:r>
        <w:t xml:space="preserve">sie nicht schon auf die Probezeit angerechnet worden sind.</w:t>
      </w:r>
    </w:p>
    <w:p>
      <w:r>
        <w:t xml:space="preserve">(5) Zeiten in einem hauptberuflichen kommunalen Wahlbeamtenverhältnis, die nach Erwerb einer Laufbahnbefähigung geleistet worden sind, können auf die laufbahnrechtliche Dienstzeit angerechnet werden.</w:t>
      </w:r>
    </w:p>
    <w:p>
      <w:r>
        <w:t xml:space="preserve">Einzelnorm</w:t>
      </w:r>
    </w:p>
    <w:p>
      <w:r>
        <w:rPr>
          <w:color w:val="555555"/>
          <w:sz w:val="17"/>
        </w:rPr>
        <w:t xml:space="preserve">Zitiervorschlag: § 22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