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BbgPJMDSG (Brandenburg) — Schadensersatz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Hat ein Verantwortlicher einer Person durch eine Verarbeitung personenbezogener Daten, die nach den zur Umsetzung der Richtlinie (EU) 2016/680 erlassenen Rechtsvorschriften rechtswidrig war, einen Schaden zugefügt, ist er der Person zum Schadensersatz verpflichtet, es sei denn, ihn trifft kein Verschulden.</w:t>
      </w:r>
    </w:p>
    <w:p>
      <w:r>
        <w:t xml:space="preserve">(2) Wegen eines Schadens, der nicht Vermögensschaden ist, kann die Person eine angemessene Entschädigung in Geld verlangen.</w:t>
      </w:r>
    </w:p>
    <w:p>
      <w:r>
        <w:t xml:space="preserve">(3) Lässt sich bei einer automatisierten Verarbeitung personenbezogener Daten nicht ermitteln, welcher von mehreren beteiligten Verantwortlichen den Schaden verursacht hat, so haften sie als Gesamtschuldner.</w:t>
      </w:r>
    </w:p>
    <w:p>
      <w:r>
        <w:t xml:space="preserve">(4) Ein Auftragsverarbeiter haftet gegenüber dem Verantwortlichen für den durch eine Verarbeitung verursachten Schaden nur dann, wenn er seinen Pflichten nach § 27 Absatz 3 nicht nachgekommen ist oder gegen rechtmäßig erteilte Anweisungen des Verantwortlichen verstoßen hat, es sei denn, ihn trifft kein Verschulden.</w:t>
      </w:r>
    </w:p>
    <w:p>
      <w:r>
        <w:t xml:space="preserve">(5) Bei einem Mitverschulden der betroffenen Person oder eines Dritten ist § 254 des Bürgerlichen Gesetzbuches entsprechend anzuwenden.</w:t>
      </w:r>
    </w:p>
    <w:p>
      <w:r>
        <w:t xml:space="preserve">(6) Auf die Verjährung finden die für unerlaubte Handlungen geltenden Verjährungsvorschriften des Bürgerlichen Gesetzbuches entsprechende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43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