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BbgPG (Brandenburg) — Zulassungsfreiheit; Zugang zum Pressevertrieb</w:t>
      </w:r>
    </w:p>
    <w:p>
      <w:r>
        <w:rPr>
          <w:color w:val="555555"/>
          <w:sz w:val="18"/>
        </w:rPr>
        <w:t xml:space="preserve">Brandenburgisches Landespressegesetz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Pressetätigkeit einschließlich der Errichtung eines Verlagsunternehmens und eines sonstigen Betriebes der Presse darf von irgendeiner Zulassung nicht abhängig gemacht werden.</w:t>
      </w:r>
    </w:p>
    <w:p>
      <w:r>
        <w:t xml:space="preserve">(2) Die Neutralität des Pressegroßhandels ist zu gewährleisten. Die Unternehmen des Pressegroßhandels haben allen Zeitungen und Zeitschriften zu gleichen Bedingungen und ohne unbillige Behinderungen Zugang zum Pressevertrieb zu gewähren.</w:t>
      </w:r>
    </w:p>
    <w:p>
      <w:r>
        <w:rPr>
          <w:color w:val="555555"/>
          <w:sz w:val="17"/>
        </w:rPr>
        <w:t xml:space="preserve">Zitiervorschlag: § 2 BbgPG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