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BbgPG (Brandenburg) — Anspruch auf Gegendarstellung</w:t>
      </w:r>
    </w:p>
    <w:p>
      <w:r>
        <w:rPr>
          <w:color w:val="555555"/>
          <w:sz w:val="18"/>
        </w:rPr>
        <w:t xml:space="preserve">Brandenburgisches Landespressegesetz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verantwortliche Redakteurin oder der verantwortliche Redakteur und die Verlegerin oder der Verleger eines periodischen Druckwerks sind verpflichtet, eine Gegendarstellung der Person oder Stelle zum Abdruck zu bringen, die durch eine in dem Druckwerk aufgestellte Tatsachenbehauptung betroffen ist. Die Verpflichtung erstreckt sich auf alle Nebenausgaben des Druckwerks, in denen die Tatsachenbehauptung erschienen ist.</w:t>
      </w:r>
    </w:p>
    <w:p>
      <w:r>
        <w:t xml:space="preserve">(2) Die Pflicht zum Abdruck einer Gegendarstellung besteht nicht,</w:t>
      </w:r>
    </w:p>
    <w:p>
      <w:r>
        <w:t xml:space="preserve">wenn die betroffene Person oder Stelle kein berechtigtes Interesse an der Veröffentlichung hat,</w:t>
      </w:r>
    </w:p>
    <w:p>
      <w:r>
        <w:t xml:space="preserve">wenn die Gegendarstellung ihrem Umfang nach nicht angemessen ist oder</w:t>
      </w:r>
    </w:p>
    <w:p>
      <w:r>
        <w:t xml:space="preserve">bei Anzeigen, die ausschließlich dem geschäftlichen Verkehr dienen.</w:t>
      </w:r>
    </w:p>
    <w:p>
      <w:r>
        <w:t xml:space="preserve">überschreitet die Gegendarstellung nicht den Umfang des beanstandeten Textes, so gilt sie als angemessen. Die Gegendarstellung muss sich auf tatsächliche Angaben beschränken und darf keinen strafbaren Inhalt haben. Sie bedarf der Schriftform und muss von der betroffenen Person oder ihrer gesetzlichen Vertreterin oder ihrem gesetzlichen Vertreter unterzeichnet sein. Die betroffene Person kann den Abdruck nur verlangen, wenn die Gegendarstellung der verantwortlichen Redakteurin oder dem verantwortlichen Redakteur oder der Verlegerin oder dem Verleger unverzüglich, spätestens innerhalb von drei Monaten nach der Veröffentlichung, zugeht.</w:t>
      </w:r>
    </w:p>
    <w:p>
      <w:r>
        <w:t xml:space="preserve">(3) Die Gegendarstellung muss in der nach Empfang der Einsendung nächstfolgenden, für den Druck nicht abgeschlossenen Nummer in dem gleichen Teil des Druckwerks und mit gleicher Schrift wie der beanstandete Text ohne Einschaltung, Weglassungen oder Zusätze abgedruckt werden; sie darf nicht in der Form eines Leserbriefs erscheinen. Der Abdruck ist kostenfrei. Wer sich zu der Gegendarstellung in derselben Nummer äußert, muss sich auf tatsächliche Angaben beschränken.</w:t>
      </w:r>
    </w:p>
    <w:p>
      <w:r>
        <w:t xml:space="preserve">(4) Ist der Gegendarstellungsanspruch vergeblich geltend gemacht worden, so ist für seine Durchsetzung der ordentliche Rechtsweg gegeben. Auf Antrag der betroffenen Person kann das Gericht anordnen, dass die verantwortlichen Personen gemäß Absatz 1 Satz 1 eine Gegendarstellung in der Form des Absatzes 3 veröffentlichen. Auf dieses Verfahren sind die Vorschriften der Zivilprozessordnung über das Verfahren auf Erlass einer einstweiligen Verfügung entsprechend anzuwenden. Eine Gefährdung des Anspruchs braucht nicht glaubhaft gemacht zu werden. Ein Hauptverfahren findet nicht statt.</w:t>
      </w:r>
    </w:p>
    <w:p>
      <w:r>
        <w:t xml:space="preserve">(5) Die Absätze 1 bis 4 gelten nicht für wahrheitsgetreue Berichte über öffentliche Sitzungen der gesetzgebenden und beschließenden Organe der Europäischen Union, der Europäischen Atomgemeinschaft, des Bundes, der Länder und der Gemeinden (Gemeindeverbände) sowie der Gerichte.</w:t>
      </w:r>
    </w:p>
    <w:p>
      <w:r>
        <w:rPr>
          <w:color w:val="555555"/>
          <w:sz w:val="17"/>
        </w:rPr>
        <w:t xml:space="preserve">Zitiervorschlag: § 12 BbgPG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https://recht.nulegal.eu/gesetze/BbgPG/12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